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6B152A" w:rsidP="00D86A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свое имущество</w:t>
      </w:r>
    </w:p>
    <w:bookmarkEnd w:id="0"/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6B152A">
        <w:rPr>
          <w:rFonts w:ascii="Times New Roman" w:hAnsi="Times New Roman"/>
          <w:sz w:val="28"/>
          <w:szCs w:val="28"/>
        </w:rPr>
        <w:t xml:space="preserve"> по Волгоградской области поступают заявления граждан с настоятельными просьбами запретить регистрацию на объекты недвижимого имущества, принадлежащие родственникам или знакомым.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Управление разъясняет</w:t>
      </w:r>
      <w:r w:rsidRPr="006B152A">
        <w:rPr>
          <w:rFonts w:ascii="Times New Roman" w:hAnsi="Times New Roman"/>
          <w:sz w:val="28"/>
          <w:szCs w:val="28"/>
        </w:rPr>
        <w:t xml:space="preserve">, что основанием для приостановления государственной регистрации в связи с наличием запрета на осуществление действий по регистрации в отношении объекта недвижимости является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 (пункт 8 часть 1 статья 16 Федерального закона от 13.07.2015 № 218-ФЗ «О государственной регистрации недвижимости» (Закон о недвижимости).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Аресты (запреты) на имущество имеют право налагать: суды общей юрисдикции и арбитражные суды, судебные приставы, налоговые и таможенные органы.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Таким образом, заявления граждан не могут являться основанием для государственной регистрации запрета.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случае нарушения прав, гражданин вправе в соответствии со статьёй 11 </w:t>
      </w:r>
      <w:r>
        <w:rPr>
          <w:rFonts w:ascii="Times New Roman" w:hAnsi="Times New Roman"/>
          <w:sz w:val="28"/>
          <w:szCs w:val="28"/>
        </w:rPr>
        <w:t>ГК РФ</w:t>
      </w:r>
      <w:r w:rsidRPr="006B152A">
        <w:rPr>
          <w:rFonts w:ascii="Times New Roman" w:hAnsi="Times New Roman"/>
          <w:sz w:val="28"/>
          <w:szCs w:val="28"/>
        </w:rPr>
        <w:t xml:space="preserve"> обратиться за их защитой в судебные органы и суд может принять меры по обеспечению иска в виде запрета (ареста) на имущество, принадлежащее ответчику (статья 140 ГК РФ).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После вынесения акта о наложении ареста или о запрете совершать определенные действия с недвижимым имуществом суд в срок не более чем три рабочих дня направляет заверенную копию акта в орган регистрации (часть 13 статья 32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При поступлении в Управление судебного акта о наложении ареста или о запрете совершать определенные действия с недвижимым имуществом                   в Единый государственный реестр недвиж</w:t>
      </w:r>
      <w:r>
        <w:rPr>
          <w:rFonts w:ascii="Times New Roman" w:hAnsi="Times New Roman"/>
          <w:sz w:val="28"/>
          <w:szCs w:val="28"/>
        </w:rPr>
        <w:t xml:space="preserve">имости в течение 3 рабочих дней </w:t>
      </w:r>
      <w:r w:rsidRPr="006B152A">
        <w:rPr>
          <w:rFonts w:ascii="Times New Roman" w:hAnsi="Times New Roman"/>
          <w:sz w:val="28"/>
          <w:szCs w:val="28"/>
        </w:rPr>
        <w:t>будут внесены сведения о запрете (аресте).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Если в ЕГРН имеются сведения о запрете (аресте) государственная регистрация перехода права будет приостановлена до поступления в орган регистрации акта судебного акта или акта уполномоченного органа о снятии ареста или запрета (ареста) (пункт 37 часть 1 статья 26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Pr="00655FED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Исходя из вышеизложенного, можно 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52A">
        <w:rPr>
          <w:rFonts w:ascii="Times New Roman" w:hAnsi="Times New Roman"/>
          <w:sz w:val="28"/>
          <w:szCs w:val="28"/>
        </w:rPr>
        <w:t>что,</w:t>
      </w:r>
      <w:r w:rsidRPr="006B152A">
        <w:rPr>
          <w:rFonts w:ascii="Times New Roman" w:hAnsi="Times New Roman"/>
          <w:sz w:val="28"/>
          <w:szCs w:val="28"/>
        </w:rPr>
        <w:t xml:space="preserve"> если в ЕГРН имеются сведения об аресте (запрете) переход права невозможен.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152A" w:rsidRPr="00655FED" w:rsidRDefault="006B152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52A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15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2023-06-06T12:17:00Z</dcterms:created>
  <dcterms:modified xsi:type="dcterms:W3CDTF">2023-06-06T12:17:00Z</dcterms:modified>
</cp:coreProperties>
</file>